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43F" w:rsidRDefault="00F0743F">
      <w:pPr>
        <w:rPr>
          <w:noProof/>
        </w:rPr>
      </w:pPr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Myriad-Bold" w:hAnsi="Myriad-Bold" w:cs="Myriad-Bold"/>
          <w:b/>
          <w:bCs/>
          <w:sz w:val="14"/>
          <w:szCs w:val="14"/>
        </w:rPr>
      </w:pPr>
      <w:r>
        <w:rPr>
          <w:rFonts w:ascii="Myriad-Bold" w:hAnsi="Myriad-Bold" w:cs="Myriad-Bold"/>
          <w:b/>
          <w:bCs/>
          <w:sz w:val="23"/>
          <w:szCs w:val="23"/>
        </w:rPr>
        <w:t>THE BOYD POSTEROLATERAL EXPOSURE</w:t>
      </w:r>
      <w:r>
        <w:rPr>
          <w:rFonts w:ascii="Myriad-Bold" w:hAnsi="Myriad-Bold" w:cs="Myriad-Bold"/>
          <w:b/>
          <w:bCs/>
          <w:sz w:val="14"/>
          <w:szCs w:val="14"/>
        </w:rPr>
        <w:t>7</w:t>
      </w:r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Nofret-Light" w:hAnsi="Nofret-Light" w:cs="Nofret-Light"/>
          <w:sz w:val="20"/>
          <w:szCs w:val="20"/>
        </w:rPr>
      </w:pPr>
      <w:r>
        <w:rPr>
          <w:rFonts w:ascii="Nofret-Light" w:hAnsi="Nofret-Light" w:cs="Nofret-Light"/>
          <w:sz w:val="20"/>
          <w:szCs w:val="20"/>
        </w:rPr>
        <w:t xml:space="preserve">Exposure of the lateral </w:t>
      </w:r>
      <w:proofErr w:type="spellStart"/>
      <w:r>
        <w:rPr>
          <w:rFonts w:ascii="Nofret-Light" w:hAnsi="Nofret-Light" w:cs="Nofret-Light"/>
          <w:sz w:val="20"/>
          <w:szCs w:val="20"/>
        </w:rPr>
        <w:t>ulnohumeral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and </w:t>
      </w:r>
      <w:proofErr w:type="spellStart"/>
      <w:r>
        <w:rPr>
          <w:rFonts w:ascii="Nofret-Light" w:hAnsi="Nofret-Light" w:cs="Nofret-Light"/>
          <w:sz w:val="20"/>
          <w:szCs w:val="20"/>
        </w:rPr>
        <w:t>radiohumeral</w:t>
      </w:r>
      <w:proofErr w:type="spellEnd"/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Nofret-Light" w:hAnsi="Nofret-Light" w:cs="Nofret-Light"/>
          <w:sz w:val="20"/>
          <w:szCs w:val="20"/>
        </w:rPr>
      </w:pPr>
      <w:proofErr w:type="gramStart"/>
      <w:r>
        <w:rPr>
          <w:rFonts w:ascii="Nofret-Light" w:hAnsi="Nofret-Light" w:cs="Nofret-Light"/>
          <w:sz w:val="20"/>
          <w:szCs w:val="20"/>
        </w:rPr>
        <w:t>joint</w:t>
      </w:r>
      <w:proofErr w:type="gramEnd"/>
      <w:r>
        <w:rPr>
          <w:rFonts w:ascii="Nofret-Light" w:hAnsi="Nofret-Light" w:cs="Nofret-Light"/>
          <w:sz w:val="20"/>
          <w:szCs w:val="20"/>
        </w:rPr>
        <w:t xml:space="preserve"> is accomplished with several variations of a </w:t>
      </w:r>
      <w:proofErr w:type="spellStart"/>
      <w:r>
        <w:rPr>
          <w:rFonts w:ascii="Nofret-Light" w:hAnsi="Nofret-Light" w:cs="Nofret-Light"/>
          <w:sz w:val="20"/>
          <w:szCs w:val="20"/>
        </w:rPr>
        <w:t>posterolateral</w:t>
      </w:r>
      <w:proofErr w:type="spellEnd"/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Nofret-Light" w:hAnsi="Nofret-Light" w:cs="Nofret-Light"/>
          <w:sz w:val="20"/>
          <w:szCs w:val="20"/>
        </w:rPr>
      </w:pPr>
      <w:proofErr w:type="gramStart"/>
      <w:r>
        <w:rPr>
          <w:rFonts w:ascii="Nofret-Light" w:hAnsi="Nofret-Light" w:cs="Nofret-Light"/>
          <w:sz w:val="20"/>
          <w:szCs w:val="20"/>
        </w:rPr>
        <w:t>approach</w:t>
      </w:r>
      <w:proofErr w:type="gramEnd"/>
      <w:r>
        <w:rPr>
          <w:rFonts w:ascii="Nofret-Light" w:hAnsi="Nofret-Light" w:cs="Nofret-Light"/>
          <w:sz w:val="20"/>
          <w:szCs w:val="20"/>
        </w:rPr>
        <w:t xml:space="preserve"> described by Boyd. Depending on</w:t>
      </w:r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Nofret-Light" w:hAnsi="Nofret-Light" w:cs="Nofret-Light"/>
          <w:sz w:val="20"/>
          <w:szCs w:val="20"/>
        </w:rPr>
      </w:pPr>
      <w:proofErr w:type="gramStart"/>
      <w:r>
        <w:rPr>
          <w:rFonts w:ascii="Nofret-Light" w:hAnsi="Nofret-Light" w:cs="Nofret-Light"/>
          <w:sz w:val="20"/>
          <w:szCs w:val="20"/>
        </w:rPr>
        <w:t>the</w:t>
      </w:r>
      <w:proofErr w:type="gramEnd"/>
      <w:r>
        <w:rPr>
          <w:rFonts w:ascii="Nofret-Light" w:hAnsi="Nofret-Light" w:cs="Nofret-Light"/>
          <w:sz w:val="20"/>
          <w:szCs w:val="20"/>
        </w:rPr>
        <w:t xml:space="preserve"> need to expose the proximal ulna or the distal</w:t>
      </w:r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Nofret-Light" w:hAnsi="Nofret-Light" w:cs="Nofret-Light"/>
          <w:sz w:val="20"/>
          <w:szCs w:val="20"/>
        </w:rPr>
      </w:pPr>
      <w:proofErr w:type="spellStart"/>
      <w:proofErr w:type="gramStart"/>
      <w:r>
        <w:rPr>
          <w:rFonts w:ascii="Nofret-Light" w:hAnsi="Nofret-Light" w:cs="Nofret-Light"/>
          <w:sz w:val="20"/>
          <w:szCs w:val="20"/>
        </w:rPr>
        <w:t>humerus</w:t>
      </w:r>
      <w:proofErr w:type="spellEnd"/>
      <w:proofErr w:type="gramEnd"/>
      <w:r>
        <w:rPr>
          <w:rFonts w:ascii="Nofret-Light" w:hAnsi="Nofret-Light" w:cs="Nofret-Light"/>
          <w:sz w:val="20"/>
          <w:szCs w:val="20"/>
        </w:rPr>
        <w:t>, these approaches can be extended and thus</w:t>
      </w:r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Nofret-Light" w:hAnsi="Nofret-Light" w:cs="Nofret-Light"/>
          <w:sz w:val="12"/>
          <w:szCs w:val="12"/>
        </w:rPr>
      </w:pPr>
      <w:proofErr w:type="gramStart"/>
      <w:r>
        <w:rPr>
          <w:rFonts w:ascii="Nofret-Light" w:hAnsi="Nofret-Light" w:cs="Nofret-Light"/>
          <w:sz w:val="20"/>
          <w:szCs w:val="20"/>
        </w:rPr>
        <w:t>provide</w:t>
      </w:r>
      <w:proofErr w:type="gramEnd"/>
      <w:r>
        <w:rPr>
          <w:rFonts w:ascii="Nofret-Light" w:hAnsi="Nofret-Light" w:cs="Nofret-Light"/>
          <w:sz w:val="20"/>
          <w:szCs w:val="20"/>
        </w:rPr>
        <w:t xml:space="preserve"> </w:t>
      </w:r>
      <w:proofErr w:type="spellStart"/>
      <w:r>
        <w:rPr>
          <w:rFonts w:ascii="Nofret-Light" w:hAnsi="Nofret-Light" w:cs="Nofret-Light"/>
          <w:sz w:val="20"/>
          <w:szCs w:val="20"/>
        </w:rPr>
        <w:t>signifi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cant versatility.</w:t>
      </w:r>
      <w:r>
        <w:rPr>
          <w:rFonts w:ascii="Nofret-Light" w:hAnsi="Nofret-Light" w:cs="Nofret-Light"/>
          <w:sz w:val="12"/>
          <w:szCs w:val="12"/>
        </w:rPr>
        <w:t>40</w:t>
      </w:r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Nofret-Light" w:hAnsi="Nofret-Light" w:cs="Nofret-Light"/>
          <w:sz w:val="20"/>
          <w:szCs w:val="20"/>
        </w:rPr>
      </w:pPr>
      <w:r>
        <w:rPr>
          <w:rFonts w:ascii="Nofret-Medium" w:hAnsi="Nofret-Medium" w:cs="Nofret-Medium"/>
          <w:b/>
          <w:bCs/>
          <w:sz w:val="17"/>
          <w:szCs w:val="17"/>
        </w:rPr>
        <w:t xml:space="preserve">Indications </w:t>
      </w:r>
      <w:proofErr w:type="spellStart"/>
      <w:r>
        <w:rPr>
          <w:rFonts w:ascii="Nofret-Light" w:hAnsi="Nofret-Light" w:cs="Nofret-Light"/>
          <w:sz w:val="20"/>
          <w:szCs w:val="20"/>
        </w:rPr>
        <w:t>Monteggia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fractures, Mayo type II </w:t>
      </w:r>
      <w:proofErr w:type="spellStart"/>
      <w:r>
        <w:rPr>
          <w:rFonts w:ascii="Nofret-Light" w:hAnsi="Nofret-Light" w:cs="Nofret-Light"/>
          <w:sz w:val="20"/>
          <w:szCs w:val="20"/>
        </w:rPr>
        <w:t>olecranon</w:t>
      </w:r>
      <w:proofErr w:type="spellEnd"/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Nofret-Light" w:hAnsi="Nofret-Light" w:cs="Nofret-Light"/>
          <w:sz w:val="20"/>
          <w:szCs w:val="20"/>
        </w:rPr>
      </w:pPr>
      <w:proofErr w:type="gramStart"/>
      <w:r>
        <w:rPr>
          <w:rFonts w:ascii="Nofret-Light" w:hAnsi="Nofret-Light" w:cs="Nofret-Light"/>
          <w:sz w:val="20"/>
          <w:szCs w:val="20"/>
        </w:rPr>
        <w:t>fractures</w:t>
      </w:r>
      <w:proofErr w:type="gramEnd"/>
      <w:r>
        <w:rPr>
          <w:rFonts w:ascii="Nofret-Light" w:hAnsi="Nofret-Light" w:cs="Nofret-Light"/>
          <w:sz w:val="20"/>
          <w:szCs w:val="20"/>
        </w:rPr>
        <w:t>.</w:t>
      </w:r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Nofret-Light" w:hAnsi="Nofret-Light" w:cs="Nofret-Light"/>
          <w:sz w:val="20"/>
          <w:szCs w:val="20"/>
        </w:rPr>
      </w:pPr>
      <w:r>
        <w:rPr>
          <w:rFonts w:ascii="Nofret-Medium" w:hAnsi="Nofret-Medium" w:cs="Nofret-Medium"/>
          <w:b/>
          <w:bCs/>
          <w:sz w:val="17"/>
          <w:szCs w:val="17"/>
        </w:rPr>
        <w:t xml:space="preserve">Skin Incision </w:t>
      </w:r>
      <w:r>
        <w:rPr>
          <w:rFonts w:ascii="Nofret-Light" w:hAnsi="Nofret-Light" w:cs="Nofret-Light"/>
          <w:sz w:val="20"/>
          <w:szCs w:val="20"/>
        </w:rPr>
        <w:t>Begin the incision just posterior to the</w:t>
      </w:r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Nofret-Light" w:hAnsi="Nofret-Light" w:cs="Nofret-Light"/>
          <w:sz w:val="20"/>
          <w:szCs w:val="20"/>
        </w:rPr>
      </w:pPr>
      <w:proofErr w:type="gramStart"/>
      <w:r>
        <w:rPr>
          <w:rFonts w:ascii="Nofret-Light" w:hAnsi="Nofret-Light" w:cs="Nofret-Light"/>
          <w:sz w:val="20"/>
          <w:szCs w:val="20"/>
        </w:rPr>
        <w:t>lateral</w:t>
      </w:r>
      <w:proofErr w:type="gramEnd"/>
      <w:r>
        <w:rPr>
          <w:rFonts w:ascii="Nofret-Light" w:hAnsi="Nofret-Light" w:cs="Nofret-Light"/>
          <w:sz w:val="20"/>
          <w:szCs w:val="20"/>
        </w:rPr>
        <w:t xml:space="preserve"> </w:t>
      </w:r>
      <w:proofErr w:type="spellStart"/>
      <w:r>
        <w:rPr>
          <w:rFonts w:ascii="Nofret-Light" w:hAnsi="Nofret-Light" w:cs="Nofret-Light"/>
          <w:sz w:val="20"/>
          <w:szCs w:val="20"/>
        </w:rPr>
        <w:t>epicondyle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and lateral to the triceps tendon, and</w:t>
      </w:r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Nofret-Light" w:hAnsi="Nofret-Light" w:cs="Nofret-Light"/>
          <w:sz w:val="20"/>
          <w:szCs w:val="20"/>
        </w:rPr>
      </w:pPr>
      <w:proofErr w:type="gramStart"/>
      <w:r>
        <w:rPr>
          <w:rFonts w:ascii="Nofret-Light" w:hAnsi="Nofret-Light" w:cs="Nofret-Light"/>
          <w:sz w:val="20"/>
          <w:szCs w:val="20"/>
        </w:rPr>
        <w:t>continue</w:t>
      </w:r>
      <w:proofErr w:type="gramEnd"/>
      <w:r>
        <w:rPr>
          <w:rFonts w:ascii="Nofret-Light" w:hAnsi="Nofret-Light" w:cs="Nofret-Light"/>
          <w:sz w:val="20"/>
          <w:szCs w:val="20"/>
        </w:rPr>
        <w:t xml:space="preserve"> the incision distally to the lateral tip of the </w:t>
      </w:r>
      <w:proofErr w:type="spellStart"/>
      <w:r>
        <w:rPr>
          <w:rFonts w:ascii="Nofret-Light" w:hAnsi="Nofret-Light" w:cs="Nofret-Light"/>
          <w:sz w:val="20"/>
          <w:szCs w:val="20"/>
        </w:rPr>
        <w:t>olecranon</w:t>
      </w:r>
      <w:proofErr w:type="spellEnd"/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Nofret-Light" w:hAnsi="Nofret-Light" w:cs="Nofret-Light"/>
          <w:sz w:val="20"/>
          <w:szCs w:val="20"/>
        </w:rPr>
      </w:pPr>
      <w:proofErr w:type="gramStart"/>
      <w:r>
        <w:rPr>
          <w:rFonts w:ascii="Nofret-Light" w:hAnsi="Nofret-Light" w:cs="Nofret-Light"/>
          <w:sz w:val="20"/>
          <w:szCs w:val="20"/>
        </w:rPr>
        <w:t>and</w:t>
      </w:r>
      <w:proofErr w:type="gramEnd"/>
      <w:r>
        <w:rPr>
          <w:rFonts w:ascii="Nofret-Light" w:hAnsi="Nofret-Light" w:cs="Nofret-Light"/>
          <w:sz w:val="20"/>
          <w:szCs w:val="20"/>
        </w:rPr>
        <w:t xml:space="preserve"> then down the subcutaneous border of the</w:t>
      </w:r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Nofret-Light" w:hAnsi="Nofret-Light" w:cs="Nofret-Light"/>
          <w:sz w:val="20"/>
          <w:szCs w:val="20"/>
        </w:rPr>
      </w:pPr>
      <w:proofErr w:type="gramStart"/>
      <w:r>
        <w:rPr>
          <w:rFonts w:ascii="Nofret-Light" w:hAnsi="Nofret-Light" w:cs="Nofret-Light"/>
          <w:sz w:val="20"/>
          <w:szCs w:val="20"/>
        </w:rPr>
        <w:t>ulna</w:t>
      </w:r>
      <w:proofErr w:type="gramEnd"/>
      <w:r>
        <w:rPr>
          <w:rFonts w:ascii="Nofret-Light" w:hAnsi="Nofret-Light" w:cs="Nofret-Light"/>
          <w:sz w:val="20"/>
          <w:szCs w:val="20"/>
        </w:rPr>
        <w:t xml:space="preserve"> to the junction of its proximal and middle thirds or</w:t>
      </w:r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Nofret-Light" w:hAnsi="Nofret-Light" w:cs="Nofret-Light"/>
          <w:sz w:val="20"/>
          <w:szCs w:val="20"/>
        </w:rPr>
      </w:pPr>
      <w:proofErr w:type="gramStart"/>
      <w:r>
        <w:rPr>
          <w:rFonts w:ascii="Nofret-Light" w:hAnsi="Nofret-Light" w:cs="Nofret-Light"/>
          <w:sz w:val="20"/>
          <w:szCs w:val="20"/>
        </w:rPr>
        <w:t>as</w:t>
      </w:r>
      <w:proofErr w:type="gramEnd"/>
      <w:r>
        <w:rPr>
          <w:rFonts w:ascii="Nofret-Light" w:hAnsi="Nofret-Light" w:cs="Nofret-Light"/>
          <w:sz w:val="20"/>
          <w:szCs w:val="20"/>
        </w:rPr>
        <w:t xml:space="preserve"> necessary in order to expose the fracture (Fig. 7-6A).</w:t>
      </w:r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Nofret-Light" w:hAnsi="Nofret-Light" w:cs="Nofret-Light"/>
          <w:sz w:val="20"/>
          <w:szCs w:val="20"/>
        </w:rPr>
      </w:pPr>
      <w:r>
        <w:rPr>
          <w:rFonts w:ascii="Nofret-Medium" w:hAnsi="Nofret-Medium" w:cs="Nofret-Medium"/>
          <w:b/>
          <w:bCs/>
          <w:sz w:val="17"/>
          <w:szCs w:val="17"/>
        </w:rPr>
        <w:t xml:space="preserve">Technique </w:t>
      </w:r>
      <w:r>
        <w:rPr>
          <w:rFonts w:ascii="Nofret-Light" w:hAnsi="Nofret-Light" w:cs="Nofret-Light"/>
          <w:sz w:val="20"/>
          <w:szCs w:val="20"/>
        </w:rPr>
        <w:t xml:space="preserve">The </w:t>
      </w:r>
      <w:proofErr w:type="spellStart"/>
      <w:r>
        <w:rPr>
          <w:rFonts w:ascii="Nofret-Light" w:hAnsi="Nofret-Light" w:cs="Nofret-Light"/>
          <w:sz w:val="20"/>
          <w:szCs w:val="20"/>
        </w:rPr>
        <w:t>anconeus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and extensor </w:t>
      </w:r>
      <w:proofErr w:type="spellStart"/>
      <w:r>
        <w:rPr>
          <w:rFonts w:ascii="Nofret-Light" w:hAnsi="Nofret-Light" w:cs="Nofret-Light"/>
          <w:sz w:val="20"/>
          <w:szCs w:val="20"/>
        </w:rPr>
        <w:t>carpi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</w:t>
      </w:r>
      <w:proofErr w:type="spellStart"/>
      <w:r>
        <w:rPr>
          <w:rFonts w:ascii="Nofret-Light" w:hAnsi="Nofret-Light" w:cs="Nofret-Light"/>
          <w:sz w:val="20"/>
          <w:szCs w:val="20"/>
        </w:rPr>
        <w:t>ulnaris</w:t>
      </w:r>
      <w:proofErr w:type="spellEnd"/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Nofret-Light" w:hAnsi="Nofret-Light" w:cs="Nofret-Light"/>
          <w:sz w:val="20"/>
          <w:szCs w:val="20"/>
        </w:rPr>
      </w:pPr>
      <w:proofErr w:type="gramStart"/>
      <w:r>
        <w:rPr>
          <w:rFonts w:ascii="Nofret-Light" w:hAnsi="Nofret-Light" w:cs="Nofret-Light"/>
          <w:sz w:val="20"/>
          <w:szCs w:val="20"/>
        </w:rPr>
        <w:t>are</w:t>
      </w:r>
      <w:proofErr w:type="gramEnd"/>
      <w:r>
        <w:rPr>
          <w:rFonts w:ascii="Nofret-Light" w:hAnsi="Nofret-Light" w:cs="Nofret-Light"/>
          <w:sz w:val="20"/>
          <w:szCs w:val="20"/>
        </w:rPr>
        <w:t xml:space="preserve"> stripped </w:t>
      </w:r>
      <w:proofErr w:type="spellStart"/>
      <w:r>
        <w:rPr>
          <w:rFonts w:ascii="Nofret-Light" w:hAnsi="Nofret-Light" w:cs="Nofret-Light"/>
          <w:sz w:val="20"/>
          <w:szCs w:val="20"/>
        </w:rPr>
        <w:t>subperiosteally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from the ulna, beginning on</w:t>
      </w:r>
    </w:p>
    <w:p w:rsidR="0051794F" w:rsidRDefault="00F0743F" w:rsidP="00F0743F">
      <w:pPr>
        <w:rPr>
          <w:rFonts w:ascii="Nofret-Light" w:hAnsi="Nofret-Light" w:cs="Nofret-Light"/>
          <w:sz w:val="20"/>
          <w:szCs w:val="20"/>
        </w:rPr>
      </w:pPr>
      <w:proofErr w:type="gramStart"/>
      <w:r>
        <w:rPr>
          <w:rFonts w:ascii="Nofret-Light" w:hAnsi="Nofret-Light" w:cs="Nofret-Light"/>
          <w:sz w:val="20"/>
          <w:szCs w:val="20"/>
        </w:rPr>
        <w:lastRenderedPageBreak/>
        <w:t>the</w:t>
      </w:r>
      <w:proofErr w:type="gramEnd"/>
      <w:r>
        <w:rPr>
          <w:rFonts w:ascii="Nofret-Light" w:hAnsi="Nofret-Light" w:cs="Nofret-Light"/>
          <w:sz w:val="20"/>
          <w:szCs w:val="20"/>
        </w:rPr>
        <w:t xml:space="preserve"> lateral subcutaneous crest of the bone and </w:t>
      </w:r>
      <w:proofErr w:type="spellStart"/>
      <w:r>
        <w:rPr>
          <w:rFonts w:ascii="Nofret-Light" w:hAnsi="Nofret-Light" w:cs="Nofret-Light"/>
          <w:sz w:val="20"/>
          <w:szCs w:val="20"/>
        </w:rPr>
        <w:t>refl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</w:t>
      </w:r>
      <w:proofErr w:type="spellStart"/>
      <w:r>
        <w:rPr>
          <w:rFonts w:ascii="Nofret-Light" w:hAnsi="Nofret-Light" w:cs="Nofret-Light"/>
          <w:sz w:val="20"/>
          <w:szCs w:val="20"/>
        </w:rPr>
        <w:t>ecting</w:t>
      </w:r>
      <w:proofErr w:type="spellEnd"/>
      <w:r w:rsidR="00A6476E">
        <w:rPr>
          <w:noProof/>
        </w:rPr>
        <w:drawing>
          <wp:inline distT="0" distB="0" distL="0" distR="0">
            <wp:extent cx="4943475" cy="6861911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86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Myriad-Bold" w:hAnsi="Myriad-Bold" w:cs="Myriad-Bold"/>
          <w:b/>
          <w:bCs/>
          <w:sz w:val="14"/>
          <w:szCs w:val="14"/>
        </w:rPr>
      </w:pPr>
      <w:r>
        <w:rPr>
          <w:rFonts w:ascii="Myriad-Bold" w:hAnsi="Myriad-Bold" w:cs="Myriad-Bold"/>
          <w:b/>
          <w:bCs/>
          <w:sz w:val="23"/>
          <w:szCs w:val="23"/>
        </w:rPr>
        <w:t>THE BOYD POSTEROLATERAL EXPOSURE</w:t>
      </w:r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Nofret-Light" w:hAnsi="Nofret-Light" w:cs="Nofret-Light"/>
          <w:sz w:val="20"/>
          <w:szCs w:val="20"/>
        </w:rPr>
      </w:pPr>
      <w:r>
        <w:rPr>
          <w:rFonts w:ascii="Nofret-Light" w:hAnsi="Nofret-Light" w:cs="Nofret-Light"/>
          <w:sz w:val="20"/>
          <w:szCs w:val="20"/>
        </w:rPr>
        <w:t xml:space="preserve">Exposure of the lateral </w:t>
      </w:r>
      <w:proofErr w:type="spellStart"/>
      <w:r>
        <w:rPr>
          <w:rFonts w:ascii="Nofret-Light" w:hAnsi="Nofret-Light" w:cs="Nofret-Light"/>
          <w:sz w:val="20"/>
          <w:szCs w:val="20"/>
        </w:rPr>
        <w:t>ulnohumeral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and </w:t>
      </w:r>
      <w:proofErr w:type="spellStart"/>
      <w:r>
        <w:rPr>
          <w:rFonts w:ascii="Nofret-Light" w:hAnsi="Nofret-Light" w:cs="Nofret-Light"/>
          <w:sz w:val="20"/>
          <w:szCs w:val="20"/>
        </w:rPr>
        <w:t>radiohumeral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joint is accomplished with several variations of a </w:t>
      </w:r>
      <w:proofErr w:type="spellStart"/>
      <w:r>
        <w:rPr>
          <w:rFonts w:ascii="Nofret-Light" w:hAnsi="Nofret-Light" w:cs="Nofret-Light"/>
          <w:sz w:val="20"/>
          <w:szCs w:val="20"/>
        </w:rPr>
        <w:t>posterolateral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approach described by Boyd. Depending on the need to expose the proximal ulna or the distal</w:t>
      </w:r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Nofret-Light" w:hAnsi="Nofret-Light" w:cs="Nofret-Light"/>
          <w:sz w:val="12"/>
          <w:szCs w:val="12"/>
        </w:rPr>
      </w:pPr>
      <w:proofErr w:type="spellStart"/>
      <w:proofErr w:type="gramStart"/>
      <w:r>
        <w:rPr>
          <w:rFonts w:ascii="Nofret-Light" w:hAnsi="Nofret-Light" w:cs="Nofret-Light"/>
          <w:sz w:val="20"/>
          <w:szCs w:val="20"/>
        </w:rPr>
        <w:t>humerus</w:t>
      </w:r>
      <w:proofErr w:type="spellEnd"/>
      <w:proofErr w:type="gramEnd"/>
      <w:r>
        <w:rPr>
          <w:rFonts w:ascii="Nofret-Light" w:hAnsi="Nofret-Light" w:cs="Nofret-Light"/>
          <w:sz w:val="20"/>
          <w:szCs w:val="20"/>
        </w:rPr>
        <w:t xml:space="preserve">, these approaches can be extended and thus provide </w:t>
      </w:r>
      <w:proofErr w:type="spellStart"/>
      <w:r>
        <w:rPr>
          <w:rFonts w:ascii="Nofret-Light" w:hAnsi="Nofret-Light" w:cs="Nofret-Light"/>
          <w:sz w:val="20"/>
          <w:szCs w:val="20"/>
        </w:rPr>
        <w:t>signifi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cant versatility.</w:t>
      </w:r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Nofret-Light" w:hAnsi="Nofret-Light" w:cs="Nofret-Light"/>
          <w:sz w:val="20"/>
          <w:szCs w:val="20"/>
        </w:rPr>
      </w:pPr>
      <w:r>
        <w:rPr>
          <w:rFonts w:ascii="Nofret-Medium" w:hAnsi="Nofret-Medium" w:cs="Nofret-Medium"/>
          <w:b/>
          <w:bCs/>
          <w:sz w:val="17"/>
          <w:szCs w:val="17"/>
        </w:rPr>
        <w:t xml:space="preserve">Indications </w:t>
      </w:r>
      <w:proofErr w:type="spellStart"/>
      <w:r>
        <w:rPr>
          <w:rFonts w:ascii="Nofret-Light" w:hAnsi="Nofret-Light" w:cs="Nofret-Light"/>
          <w:sz w:val="20"/>
          <w:szCs w:val="20"/>
        </w:rPr>
        <w:t>Monteggia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fractures, Mayo type II </w:t>
      </w:r>
      <w:proofErr w:type="spellStart"/>
      <w:r>
        <w:rPr>
          <w:rFonts w:ascii="Nofret-Light" w:hAnsi="Nofret-Light" w:cs="Nofret-Light"/>
          <w:sz w:val="20"/>
          <w:szCs w:val="20"/>
        </w:rPr>
        <w:t>olecranon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fractures.</w:t>
      </w:r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Nofret-Light" w:hAnsi="Nofret-Light" w:cs="Nofret-Light"/>
          <w:sz w:val="20"/>
          <w:szCs w:val="20"/>
        </w:rPr>
      </w:pPr>
      <w:r>
        <w:rPr>
          <w:rFonts w:ascii="Nofret-Medium" w:hAnsi="Nofret-Medium" w:cs="Nofret-Medium"/>
          <w:b/>
          <w:bCs/>
          <w:sz w:val="17"/>
          <w:szCs w:val="17"/>
        </w:rPr>
        <w:t xml:space="preserve">Skin Incision </w:t>
      </w:r>
      <w:r>
        <w:rPr>
          <w:rFonts w:ascii="Nofret-Light" w:hAnsi="Nofret-Light" w:cs="Nofret-Light"/>
          <w:sz w:val="20"/>
          <w:szCs w:val="20"/>
        </w:rPr>
        <w:t xml:space="preserve">Begin the incision just posterior to the lateral </w:t>
      </w:r>
      <w:proofErr w:type="spellStart"/>
      <w:r>
        <w:rPr>
          <w:rFonts w:ascii="Nofret-Light" w:hAnsi="Nofret-Light" w:cs="Nofret-Light"/>
          <w:sz w:val="20"/>
          <w:szCs w:val="20"/>
        </w:rPr>
        <w:t>epicondyle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and lateral to the triceps tendon, and</w:t>
      </w:r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Nofret-Light" w:hAnsi="Nofret-Light" w:cs="Nofret-Light"/>
          <w:sz w:val="20"/>
          <w:szCs w:val="20"/>
        </w:rPr>
      </w:pPr>
      <w:proofErr w:type="gramStart"/>
      <w:r>
        <w:rPr>
          <w:rFonts w:ascii="Nofret-Light" w:hAnsi="Nofret-Light" w:cs="Nofret-Light"/>
          <w:sz w:val="20"/>
          <w:szCs w:val="20"/>
        </w:rPr>
        <w:t>continue</w:t>
      </w:r>
      <w:proofErr w:type="gramEnd"/>
      <w:r>
        <w:rPr>
          <w:rFonts w:ascii="Nofret-Light" w:hAnsi="Nofret-Light" w:cs="Nofret-Light"/>
          <w:sz w:val="20"/>
          <w:szCs w:val="20"/>
        </w:rPr>
        <w:t xml:space="preserve"> the incision distally to the lateral tip of the </w:t>
      </w:r>
      <w:proofErr w:type="spellStart"/>
      <w:r>
        <w:rPr>
          <w:rFonts w:ascii="Nofret-Light" w:hAnsi="Nofret-Light" w:cs="Nofret-Light"/>
          <w:sz w:val="20"/>
          <w:szCs w:val="20"/>
        </w:rPr>
        <w:t>olecranon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and then down the subcutaneous border of the</w:t>
      </w:r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Nofret-Light" w:hAnsi="Nofret-Light" w:cs="Nofret-Light"/>
          <w:sz w:val="20"/>
          <w:szCs w:val="20"/>
        </w:rPr>
      </w:pPr>
      <w:proofErr w:type="gramStart"/>
      <w:r>
        <w:rPr>
          <w:rFonts w:ascii="Nofret-Light" w:hAnsi="Nofret-Light" w:cs="Nofret-Light"/>
          <w:sz w:val="20"/>
          <w:szCs w:val="20"/>
        </w:rPr>
        <w:t>ulna</w:t>
      </w:r>
      <w:proofErr w:type="gramEnd"/>
      <w:r>
        <w:rPr>
          <w:rFonts w:ascii="Nofret-Light" w:hAnsi="Nofret-Light" w:cs="Nofret-Light"/>
          <w:sz w:val="20"/>
          <w:szCs w:val="20"/>
        </w:rPr>
        <w:t xml:space="preserve"> to the junction of its proximal and middle thirds or as necessary in order to expose the fracture (Fig. A).</w:t>
      </w:r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Nofret-Light" w:hAnsi="Nofret-Light" w:cs="Nofret-Light"/>
          <w:sz w:val="20"/>
          <w:szCs w:val="20"/>
        </w:rPr>
      </w:pPr>
      <w:r>
        <w:rPr>
          <w:rFonts w:ascii="Nofret-Medium" w:hAnsi="Nofret-Medium" w:cs="Nofret-Medium"/>
          <w:b/>
          <w:bCs/>
          <w:sz w:val="17"/>
          <w:szCs w:val="17"/>
        </w:rPr>
        <w:t xml:space="preserve">Technique </w:t>
      </w:r>
      <w:r>
        <w:rPr>
          <w:rFonts w:ascii="Nofret-Light" w:hAnsi="Nofret-Light" w:cs="Nofret-Light"/>
          <w:sz w:val="20"/>
          <w:szCs w:val="20"/>
        </w:rPr>
        <w:t xml:space="preserve">The </w:t>
      </w:r>
      <w:proofErr w:type="spellStart"/>
      <w:r>
        <w:rPr>
          <w:rFonts w:ascii="Nofret-Light" w:hAnsi="Nofret-Light" w:cs="Nofret-Light"/>
          <w:sz w:val="20"/>
          <w:szCs w:val="20"/>
        </w:rPr>
        <w:t>anconeus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and extensor </w:t>
      </w:r>
      <w:proofErr w:type="spellStart"/>
      <w:r>
        <w:rPr>
          <w:rFonts w:ascii="Nofret-Light" w:hAnsi="Nofret-Light" w:cs="Nofret-Light"/>
          <w:sz w:val="20"/>
          <w:szCs w:val="20"/>
        </w:rPr>
        <w:t>carpi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</w:t>
      </w:r>
      <w:proofErr w:type="spellStart"/>
      <w:r>
        <w:rPr>
          <w:rFonts w:ascii="Nofret-Light" w:hAnsi="Nofret-Light" w:cs="Nofret-Light"/>
          <w:sz w:val="20"/>
          <w:szCs w:val="20"/>
        </w:rPr>
        <w:t>ulnaris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are stripped </w:t>
      </w:r>
      <w:proofErr w:type="spellStart"/>
      <w:r>
        <w:rPr>
          <w:rFonts w:ascii="Nofret-Light" w:hAnsi="Nofret-Light" w:cs="Nofret-Light"/>
          <w:sz w:val="20"/>
          <w:szCs w:val="20"/>
        </w:rPr>
        <w:t>subperiosteally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from the ulna, beginning on</w:t>
      </w:r>
    </w:p>
    <w:p w:rsidR="00F0743F" w:rsidRDefault="00F0743F" w:rsidP="00F0743F">
      <w:pPr>
        <w:rPr>
          <w:rFonts w:ascii="Nofret-Light" w:hAnsi="Nofret-Light" w:cs="Nofret-Light"/>
          <w:sz w:val="20"/>
          <w:szCs w:val="20"/>
        </w:rPr>
      </w:pPr>
      <w:proofErr w:type="gramStart"/>
      <w:r>
        <w:rPr>
          <w:rFonts w:ascii="Nofret-Light" w:hAnsi="Nofret-Light" w:cs="Nofret-Light"/>
          <w:sz w:val="20"/>
          <w:szCs w:val="20"/>
        </w:rPr>
        <w:lastRenderedPageBreak/>
        <w:t>the</w:t>
      </w:r>
      <w:proofErr w:type="gramEnd"/>
      <w:r>
        <w:rPr>
          <w:rFonts w:ascii="Nofret-Light" w:hAnsi="Nofret-Light" w:cs="Nofret-Light"/>
          <w:sz w:val="20"/>
          <w:szCs w:val="20"/>
        </w:rPr>
        <w:t xml:space="preserve"> lateral subcutaneous crest of the bone and </w:t>
      </w:r>
      <w:proofErr w:type="spellStart"/>
      <w:r>
        <w:rPr>
          <w:rFonts w:ascii="Nofret-Light" w:hAnsi="Nofret-Light" w:cs="Nofret-Light"/>
          <w:sz w:val="20"/>
          <w:szCs w:val="20"/>
        </w:rPr>
        <w:t>refl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</w:t>
      </w:r>
      <w:proofErr w:type="spellStart"/>
      <w:r>
        <w:rPr>
          <w:rFonts w:ascii="Nofret-Light" w:hAnsi="Nofret-Light" w:cs="Nofret-Light"/>
          <w:sz w:val="20"/>
          <w:szCs w:val="20"/>
        </w:rPr>
        <w:t>ecting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the muscles </w:t>
      </w:r>
      <w:proofErr w:type="spellStart"/>
      <w:r>
        <w:rPr>
          <w:rFonts w:ascii="Nofret-Light" w:hAnsi="Nofret-Light" w:cs="Nofret-Light"/>
          <w:sz w:val="20"/>
          <w:szCs w:val="20"/>
        </w:rPr>
        <w:t>volarward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. The </w:t>
      </w:r>
      <w:proofErr w:type="spellStart"/>
      <w:r>
        <w:rPr>
          <w:rFonts w:ascii="Nofret-Light" w:hAnsi="Nofret-Light" w:cs="Nofret-Light"/>
          <w:sz w:val="20"/>
          <w:szCs w:val="20"/>
        </w:rPr>
        <w:t>supinator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is released </w:t>
      </w:r>
      <w:proofErr w:type="spellStart"/>
      <w:r>
        <w:rPr>
          <w:rFonts w:ascii="Nofret-Light" w:hAnsi="Nofret-Light" w:cs="Nofret-Light"/>
          <w:sz w:val="20"/>
          <w:szCs w:val="20"/>
        </w:rPr>
        <w:t>subperiosteally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from its </w:t>
      </w:r>
      <w:proofErr w:type="spellStart"/>
      <w:r>
        <w:rPr>
          <w:rFonts w:ascii="Nofret-Light" w:hAnsi="Nofret-Light" w:cs="Nofret-Light"/>
          <w:sz w:val="20"/>
          <w:szCs w:val="20"/>
        </w:rPr>
        <w:t>ulnar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insertion, and the entire muscle mass is </w:t>
      </w:r>
      <w:proofErr w:type="spellStart"/>
      <w:r>
        <w:rPr>
          <w:rFonts w:ascii="Nofret-Light" w:hAnsi="Nofret-Light" w:cs="Nofret-Light"/>
          <w:sz w:val="20"/>
          <w:szCs w:val="20"/>
        </w:rPr>
        <w:t>refl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</w:t>
      </w:r>
      <w:proofErr w:type="spellStart"/>
      <w:r>
        <w:rPr>
          <w:rFonts w:ascii="Nofret-Light" w:hAnsi="Nofret-Light" w:cs="Nofret-Light"/>
          <w:sz w:val="20"/>
          <w:szCs w:val="20"/>
        </w:rPr>
        <w:t>ected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</w:t>
      </w:r>
      <w:proofErr w:type="spellStart"/>
      <w:r>
        <w:rPr>
          <w:rFonts w:ascii="Nofret-Light" w:hAnsi="Nofret-Light" w:cs="Nofret-Light"/>
          <w:sz w:val="20"/>
          <w:szCs w:val="20"/>
        </w:rPr>
        <w:t>anteriorly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(see Fig. B). Be</w:t>
      </w:r>
    </w:p>
    <w:p w:rsidR="00F0743F" w:rsidRDefault="00F0743F" w:rsidP="00F0743F">
      <w:pPr>
        <w:autoSpaceDE w:val="0"/>
        <w:autoSpaceDN w:val="0"/>
        <w:adjustRightInd w:val="0"/>
        <w:spacing w:after="0" w:line="240" w:lineRule="auto"/>
        <w:rPr>
          <w:rFonts w:ascii="Nofret-Light" w:hAnsi="Nofret-Light" w:cs="Nofret-Light"/>
          <w:sz w:val="20"/>
          <w:szCs w:val="20"/>
        </w:rPr>
      </w:pPr>
      <w:proofErr w:type="gramStart"/>
      <w:r>
        <w:rPr>
          <w:rFonts w:ascii="Nofret-Light" w:hAnsi="Nofret-Light" w:cs="Nofret-Light"/>
          <w:sz w:val="20"/>
          <w:szCs w:val="20"/>
        </w:rPr>
        <w:t>careful</w:t>
      </w:r>
      <w:proofErr w:type="gramEnd"/>
      <w:r>
        <w:rPr>
          <w:rFonts w:ascii="Nofret-Light" w:hAnsi="Nofret-Light" w:cs="Nofret-Light"/>
          <w:sz w:val="20"/>
          <w:szCs w:val="20"/>
        </w:rPr>
        <w:t xml:space="preserve"> not to detach the </w:t>
      </w:r>
      <w:proofErr w:type="spellStart"/>
      <w:r>
        <w:rPr>
          <w:rFonts w:ascii="Nofret-Light" w:hAnsi="Nofret-Light" w:cs="Nofret-Light"/>
          <w:sz w:val="20"/>
          <w:szCs w:val="20"/>
        </w:rPr>
        <w:t>ulnar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attachment of the lateral </w:t>
      </w:r>
      <w:proofErr w:type="spellStart"/>
      <w:r>
        <w:rPr>
          <w:rFonts w:ascii="Nofret-Light" w:hAnsi="Nofret-Light" w:cs="Nofret-Light"/>
          <w:sz w:val="20"/>
          <w:szCs w:val="20"/>
        </w:rPr>
        <w:t>ulnar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collateral ligament. Thus, the lateral surface of the ulna and the proximal portion of the radius are adequately exposed (see Fig. C). The substance of the</w:t>
      </w:r>
    </w:p>
    <w:p w:rsidR="00F0743F" w:rsidRDefault="00F0743F" w:rsidP="00F0743F">
      <w:pPr>
        <w:autoSpaceDE w:val="0"/>
        <w:autoSpaceDN w:val="0"/>
        <w:adjustRightInd w:val="0"/>
        <w:spacing w:after="0" w:line="240" w:lineRule="auto"/>
      </w:pPr>
      <w:proofErr w:type="spellStart"/>
      <w:proofErr w:type="gramStart"/>
      <w:r>
        <w:rPr>
          <w:rFonts w:ascii="Nofret-Light" w:hAnsi="Nofret-Light" w:cs="Nofret-Light"/>
          <w:sz w:val="20"/>
          <w:szCs w:val="20"/>
        </w:rPr>
        <w:t>refl</w:t>
      </w:r>
      <w:proofErr w:type="spellEnd"/>
      <w:proofErr w:type="gramEnd"/>
      <w:r>
        <w:rPr>
          <w:rFonts w:ascii="Nofret-Light" w:hAnsi="Nofret-Light" w:cs="Nofret-Light"/>
          <w:sz w:val="20"/>
          <w:szCs w:val="20"/>
        </w:rPr>
        <w:t xml:space="preserve"> </w:t>
      </w:r>
      <w:proofErr w:type="spellStart"/>
      <w:r>
        <w:rPr>
          <w:rFonts w:ascii="Nofret-Light" w:hAnsi="Nofret-Light" w:cs="Nofret-Light"/>
          <w:sz w:val="20"/>
          <w:szCs w:val="20"/>
        </w:rPr>
        <w:t>ected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</w:t>
      </w:r>
      <w:proofErr w:type="spellStart"/>
      <w:r>
        <w:rPr>
          <w:rFonts w:ascii="Nofret-Light" w:hAnsi="Nofret-Light" w:cs="Nofret-Light"/>
          <w:sz w:val="20"/>
          <w:szCs w:val="20"/>
        </w:rPr>
        <w:t>supinator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protects the deep branch of the radial nerve. If greater exposure of the radius is desired, the recurrent </w:t>
      </w:r>
      <w:proofErr w:type="spellStart"/>
      <w:r>
        <w:rPr>
          <w:rFonts w:ascii="Nofret-Light" w:hAnsi="Nofret-Light" w:cs="Nofret-Light"/>
          <w:sz w:val="20"/>
          <w:szCs w:val="20"/>
        </w:rPr>
        <w:t>interosseous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artery (not the dorsal </w:t>
      </w:r>
      <w:proofErr w:type="spellStart"/>
      <w:r>
        <w:rPr>
          <w:rFonts w:ascii="Nofret-Light" w:hAnsi="Nofret-Light" w:cs="Nofret-Light"/>
          <w:sz w:val="20"/>
          <w:szCs w:val="20"/>
        </w:rPr>
        <w:t>interosseous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artery) is divided in the proximal portion of the wound, and the muscle mass is further </w:t>
      </w:r>
      <w:proofErr w:type="spellStart"/>
      <w:r>
        <w:rPr>
          <w:rFonts w:ascii="Nofret-Light" w:hAnsi="Nofret-Light" w:cs="Nofret-Light"/>
          <w:sz w:val="20"/>
          <w:szCs w:val="20"/>
        </w:rPr>
        <w:t>refl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</w:t>
      </w:r>
      <w:proofErr w:type="spellStart"/>
      <w:r>
        <w:rPr>
          <w:rFonts w:ascii="Nofret-Light" w:hAnsi="Nofret-Light" w:cs="Nofret-Light"/>
          <w:sz w:val="20"/>
          <w:szCs w:val="20"/>
        </w:rPr>
        <w:t>ected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</w:t>
      </w:r>
      <w:proofErr w:type="spellStart"/>
      <w:r>
        <w:rPr>
          <w:rFonts w:ascii="Nofret-Light" w:hAnsi="Nofret-Light" w:cs="Nofret-Light"/>
          <w:sz w:val="20"/>
          <w:szCs w:val="20"/>
        </w:rPr>
        <w:t>volarward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to expose the </w:t>
      </w:r>
      <w:proofErr w:type="spellStart"/>
      <w:r>
        <w:rPr>
          <w:rFonts w:ascii="Nofret-Light" w:hAnsi="Nofret-Light" w:cs="Nofret-Light"/>
          <w:sz w:val="20"/>
          <w:szCs w:val="20"/>
        </w:rPr>
        <w:t>interosseous</w:t>
      </w:r>
      <w:proofErr w:type="spellEnd"/>
      <w:r>
        <w:rPr>
          <w:rFonts w:ascii="Nofret-Light" w:hAnsi="Nofret-Light" w:cs="Nofret-Light"/>
          <w:sz w:val="20"/>
          <w:szCs w:val="20"/>
        </w:rPr>
        <w:t xml:space="preserve"> membrane. The deep branch of the radial nerve remains protected.</w:t>
      </w:r>
    </w:p>
    <w:sectPr w:rsidR="00F0743F" w:rsidSect="0051794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ofret-Ligh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ofret-Medium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6476E"/>
    <w:rsid w:val="0051794F"/>
    <w:rsid w:val="00830C73"/>
    <w:rsid w:val="00A6476E"/>
    <w:rsid w:val="00F07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9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7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382</Words>
  <Characters>2183</Characters>
  <Application>Microsoft Office Word</Application>
  <DocSecurity>0</DocSecurity>
  <Lines>18</Lines>
  <Paragraphs>5</Paragraphs>
  <ScaleCrop>false</ScaleCrop>
  <Company/>
  <LinksUpToDate>false</LinksUpToDate>
  <CharactersWithSpaces>2560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2</cp:revision>
  <dcterms:created xsi:type="dcterms:W3CDTF">2012-05-15T11:23:00Z</dcterms:created>
  <dcterms:modified xsi:type="dcterms:W3CDTF">2012-05-15T11:38:00Z</dcterms:modified>
</cp:coreProperties>
</file>